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97C" w:rsidRDefault="0098697C" w:rsidP="0098697C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VOTO PARTICULAR QUE FORMULA LA COMISIONADA</w:t>
      </w:r>
      <w:r w:rsidRPr="00563D0F">
        <w:rPr>
          <w:rFonts w:ascii="Palatino Linotype" w:hAnsi="Palatino Linotype"/>
          <w:b/>
          <w:sz w:val="24"/>
          <w:szCs w:val="24"/>
        </w:rPr>
        <w:t xml:space="preserve"> </w:t>
      </w:r>
      <w:r>
        <w:rPr>
          <w:rFonts w:ascii="Palatino Linotype" w:hAnsi="Palatino Linotype"/>
          <w:b/>
          <w:sz w:val="24"/>
          <w:szCs w:val="24"/>
        </w:rPr>
        <w:t xml:space="preserve">PRESIDENTA </w:t>
      </w:r>
      <w:r w:rsidRPr="00563D0F">
        <w:rPr>
          <w:rFonts w:ascii="Palatino Linotype" w:hAnsi="Palatino Linotype"/>
          <w:b/>
          <w:sz w:val="24"/>
          <w:szCs w:val="24"/>
        </w:rPr>
        <w:t>ZULEMA MARTÍNEZ SÁNCHEZ, EN RELACIÓN CON LA RESOLUCIÓN DICTADA POR EL PLENO D</w:t>
      </w:r>
      <w:r>
        <w:rPr>
          <w:rFonts w:ascii="Palatino Linotype" w:hAnsi="Palatino Linotype"/>
          <w:b/>
          <w:sz w:val="24"/>
          <w:szCs w:val="24"/>
        </w:rPr>
        <w:t xml:space="preserve">EL INSTITUTO DE TRANSPARENCIA, </w:t>
      </w:r>
      <w:r w:rsidRPr="00563D0F">
        <w:rPr>
          <w:rFonts w:ascii="Palatino Linotype" w:hAnsi="Palatino Linotype"/>
          <w:b/>
          <w:sz w:val="24"/>
          <w:szCs w:val="24"/>
        </w:rPr>
        <w:t xml:space="preserve">ACCESO A LA INFORMACIÓN PÚBLICA Y PROTECCIÓN DE DATOS PERSONALES DEL ESTADO DE MÉXICO Y MUNICIPIOS, </w:t>
      </w:r>
      <w:r w:rsidRPr="00F96C04">
        <w:rPr>
          <w:rFonts w:ascii="Palatino Linotype" w:hAnsi="Palatino Linotype"/>
          <w:b/>
          <w:sz w:val="24"/>
          <w:szCs w:val="24"/>
        </w:rPr>
        <w:t xml:space="preserve">EN LA </w:t>
      </w:r>
      <w:r>
        <w:rPr>
          <w:rFonts w:ascii="Palatino Linotype" w:hAnsi="Palatino Linotype"/>
          <w:b/>
          <w:sz w:val="24"/>
          <w:szCs w:val="24"/>
        </w:rPr>
        <w:t>DÉCIMA</w:t>
      </w:r>
      <w:r w:rsidR="009136C7">
        <w:rPr>
          <w:rFonts w:ascii="Palatino Linotype" w:hAnsi="Palatino Linotype"/>
          <w:b/>
          <w:sz w:val="24"/>
          <w:szCs w:val="24"/>
        </w:rPr>
        <w:t xml:space="preserve"> SEXTA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 w:rsidRPr="00F96C04">
        <w:rPr>
          <w:rFonts w:ascii="Palatino Linotype" w:hAnsi="Palatino Linotype"/>
          <w:b/>
          <w:sz w:val="24"/>
          <w:szCs w:val="24"/>
        </w:rPr>
        <w:t xml:space="preserve">SESIÓN ORDINARIA DEL PLENO DE FECHA </w:t>
      </w:r>
      <w:r w:rsidR="009136C7">
        <w:rPr>
          <w:rFonts w:ascii="Palatino Linotype" w:hAnsi="Palatino Linotype"/>
          <w:b/>
          <w:sz w:val="24"/>
          <w:szCs w:val="24"/>
        </w:rPr>
        <w:t>DOS DE MAYO</w:t>
      </w:r>
      <w:r>
        <w:rPr>
          <w:rFonts w:ascii="Palatino Linotype" w:hAnsi="Palatino Linotype"/>
          <w:b/>
          <w:sz w:val="24"/>
          <w:szCs w:val="24"/>
        </w:rPr>
        <w:t xml:space="preserve"> DE DOS MIL DIECINUEVE</w:t>
      </w:r>
      <w:r w:rsidRPr="00F96C04">
        <w:rPr>
          <w:rFonts w:ascii="Palatino Linotype" w:hAnsi="Palatino Linotype"/>
          <w:b/>
          <w:sz w:val="24"/>
          <w:szCs w:val="24"/>
        </w:rPr>
        <w:t xml:space="preserve">, EN EL RECURSO DE REVISIÓN </w:t>
      </w:r>
      <w:r w:rsidR="009136C7">
        <w:rPr>
          <w:rFonts w:ascii="Palatino Linotype" w:hAnsi="Palatino Linotype"/>
          <w:b/>
          <w:sz w:val="24"/>
          <w:szCs w:val="24"/>
        </w:rPr>
        <w:t>00817</w:t>
      </w:r>
      <w:r w:rsidR="00365383" w:rsidRPr="00365383">
        <w:rPr>
          <w:rFonts w:ascii="Palatino Linotype" w:hAnsi="Palatino Linotype"/>
          <w:b/>
          <w:sz w:val="24"/>
          <w:szCs w:val="24"/>
        </w:rPr>
        <w:t>/INFOEM/IP/RR/2019</w:t>
      </w:r>
      <w:r>
        <w:rPr>
          <w:rFonts w:ascii="Palatino Linotype" w:hAnsi="Palatino Linotype"/>
          <w:b/>
          <w:sz w:val="24"/>
          <w:szCs w:val="24"/>
        </w:rPr>
        <w:t xml:space="preserve"> Y ACUMULADOS</w:t>
      </w:r>
    </w:p>
    <w:p w:rsidR="00824210" w:rsidRDefault="00824210" w:rsidP="0098697C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</w:p>
    <w:p w:rsidR="0098697C" w:rsidRDefault="00824210" w:rsidP="0098697C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Con fundamento en lo dispuesto por el artículo 14 fracción XI del Reglamento Interior del Instituto de Transparencia, Acceso a la Información Pública y Protección de Datos Personales del Estado de México y Municipios, la Comisionada Presidenta Zulema Martínez Sánchez emite VOTO PARTICULAR respecto a la resolución dictada en el recurso de revisión </w:t>
      </w:r>
      <w:r w:rsidR="009136C7">
        <w:rPr>
          <w:rFonts w:ascii="Palatino Linotype" w:hAnsi="Palatino Linotype"/>
          <w:sz w:val="24"/>
          <w:szCs w:val="24"/>
        </w:rPr>
        <w:t>00817</w:t>
      </w:r>
      <w:r w:rsidRPr="00824210">
        <w:rPr>
          <w:rFonts w:ascii="Palatino Linotype" w:hAnsi="Palatino Linotype"/>
          <w:sz w:val="24"/>
          <w:szCs w:val="24"/>
        </w:rPr>
        <w:t>/INFOEM/IP/RR/2019</w:t>
      </w:r>
      <w:r>
        <w:rPr>
          <w:rFonts w:ascii="Palatino Linotype" w:hAnsi="Palatino Linotype"/>
          <w:sz w:val="24"/>
          <w:szCs w:val="24"/>
        </w:rPr>
        <w:t xml:space="preserve"> y acumulados, pronunciada por el Pleno de este Instituto an</w:t>
      </w:r>
      <w:r w:rsidR="009136C7">
        <w:rPr>
          <w:rFonts w:ascii="Palatino Linotype" w:hAnsi="Palatino Linotype"/>
          <w:sz w:val="24"/>
          <w:szCs w:val="24"/>
        </w:rPr>
        <w:t xml:space="preserve">te el proyecto presentado por la Comisionada </w:t>
      </w:r>
      <w:r w:rsidR="009136C7" w:rsidRPr="009136C7">
        <w:rPr>
          <w:rFonts w:ascii="Palatino Linotype" w:hAnsi="Palatino Linotype"/>
          <w:sz w:val="24"/>
          <w:szCs w:val="24"/>
        </w:rPr>
        <w:t xml:space="preserve">Eva </w:t>
      </w:r>
      <w:proofErr w:type="spellStart"/>
      <w:r w:rsidR="009136C7" w:rsidRPr="009136C7">
        <w:rPr>
          <w:rFonts w:ascii="Palatino Linotype" w:hAnsi="Palatino Linotype"/>
          <w:sz w:val="24"/>
          <w:szCs w:val="24"/>
        </w:rPr>
        <w:t>Abaid</w:t>
      </w:r>
      <w:proofErr w:type="spellEnd"/>
      <w:r w:rsidR="009136C7" w:rsidRPr="009136C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9136C7" w:rsidRPr="009136C7">
        <w:rPr>
          <w:rFonts w:ascii="Palatino Linotype" w:hAnsi="Palatino Linotype"/>
          <w:sz w:val="24"/>
          <w:szCs w:val="24"/>
        </w:rPr>
        <w:t>Yapur</w:t>
      </w:r>
      <w:proofErr w:type="spellEnd"/>
      <w:r>
        <w:rPr>
          <w:rFonts w:ascii="Palatino Linotype" w:hAnsi="Palatino Linotype"/>
          <w:sz w:val="24"/>
          <w:szCs w:val="24"/>
        </w:rPr>
        <w:t>, que es del tenor siguiente:</w:t>
      </w:r>
    </w:p>
    <w:p w:rsidR="0098697C" w:rsidRDefault="0098697C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98697C" w:rsidRDefault="0098697C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CC15F2">
        <w:rPr>
          <w:rFonts w:ascii="Palatino Linotype" w:hAnsi="Palatino Linotype"/>
          <w:sz w:val="24"/>
          <w:szCs w:val="24"/>
        </w:rPr>
        <w:t xml:space="preserve">Hemos de comenzar </w:t>
      </w:r>
      <w:r>
        <w:rPr>
          <w:rFonts w:ascii="Palatino Linotype" w:hAnsi="Palatino Linotype"/>
          <w:sz w:val="24"/>
          <w:szCs w:val="24"/>
        </w:rPr>
        <w:t xml:space="preserve">recordando que el ahora </w:t>
      </w:r>
      <w:r>
        <w:rPr>
          <w:rFonts w:ascii="Palatino Linotype" w:hAnsi="Palatino Linotype"/>
          <w:b/>
          <w:sz w:val="24"/>
          <w:szCs w:val="24"/>
        </w:rPr>
        <w:t xml:space="preserve">recurrente, </w:t>
      </w:r>
      <w:r w:rsidRPr="0018688A">
        <w:rPr>
          <w:rFonts w:ascii="Palatino Linotype" w:hAnsi="Palatino Linotype"/>
          <w:sz w:val="24"/>
          <w:szCs w:val="24"/>
        </w:rPr>
        <w:t xml:space="preserve">requirió </w:t>
      </w:r>
      <w:r>
        <w:rPr>
          <w:rFonts w:ascii="Palatino Linotype" w:hAnsi="Palatino Linotype"/>
          <w:sz w:val="24"/>
          <w:szCs w:val="24"/>
        </w:rPr>
        <w:t xml:space="preserve">del H. </w:t>
      </w:r>
      <w:r w:rsidR="00365383" w:rsidRPr="00365383">
        <w:rPr>
          <w:rFonts w:ascii="Palatino Linotype" w:hAnsi="Palatino Linotype"/>
          <w:sz w:val="24"/>
          <w:szCs w:val="24"/>
        </w:rPr>
        <w:t xml:space="preserve">Ayuntamiento de </w:t>
      </w:r>
      <w:r w:rsidR="009136C7" w:rsidRPr="009136C7">
        <w:rPr>
          <w:rFonts w:ascii="Palatino Linotype" w:hAnsi="Palatino Linotype"/>
          <w:sz w:val="24"/>
          <w:szCs w:val="24"/>
        </w:rPr>
        <w:t>Coatepec Harinas</w:t>
      </w:r>
      <w:r>
        <w:rPr>
          <w:rFonts w:ascii="Palatino Linotype" w:hAnsi="Palatino Linotype"/>
          <w:sz w:val="24"/>
          <w:szCs w:val="24"/>
        </w:rPr>
        <w:t>, de forma objetiva lo siguiente:</w:t>
      </w:r>
    </w:p>
    <w:p w:rsidR="0098697C" w:rsidRDefault="0098697C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9136C7" w:rsidRDefault="009136C7" w:rsidP="009136C7">
      <w:pPr>
        <w:numPr>
          <w:ilvl w:val="0"/>
          <w:numId w:val="4"/>
        </w:numPr>
        <w:spacing w:before="240" w:after="240" w:line="360" w:lineRule="auto"/>
        <w:ind w:left="567" w:right="567"/>
        <w:contextualSpacing/>
        <w:jc w:val="both"/>
        <w:rPr>
          <w:rFonts w:ascii="Palatino Linotype" w:eastAsia="Calibri" w:hAnsi="Palatino Linotype" w:cs="Arial"/>
          <w:i/>
          <w:szCs w:val="24"/>
          <w:lang w:val="es-ES" w:eastAsia="es-ES"/>
        </w:rPr>
      </w:pPr>
      <w:r w:rsidRPr="009136C7">
        <w:rPr>
          <w:rFonts w:ascii="Palatino Linotype" w:eastAsia="Calibri" w:hAnsi="Palatino Linotype" w:cs="Arial"/>
          <w:i/>
          <w:szCs w:val="24"/>
          <w:lang w:val="es-ES" w:eastAsia="es-ES"/>
        </w:rPr>
        <w:t xml:space="preserve">“Solicito la Nómina general todas y cada una de las unidades Administrativas adscritas al Ayuntamiento, así como de los organismos públicos descentralizados del municipio de </w:t>
      </w:r>
      <w:proofErr w:type="spellStart"/>
      <w:r w:rsidRPr="009136C7">
        <w:rPr>
          <w:rFonts w:ascii="Palatino Linotype" w:eastAsia="Calibri" w:hAnsi="Palatino Linotype" w:cs="Arial"/>
          <w:i/>
          <w:szCs w:val="24"/>
          <w:lang w:val="es-ES" w:eastAsia="es-ES"/>
        </w:rPr>
        <w:lastRenderedPageBreak/>
        <w:t>Coatpec</w:t>
      </w:r>
      <w:proofErr w:type="spellEnd"/>
      <w:r w:rsidRPr="009136C7">
        <w:rPr>
          <w:rFonts w:ascii="Palatino Linotype" w:eastAsia="Calibri" w:hAnsi="Palatino Linotype" w:cs="Arial"/>
          <w:i/>
          <w:szCs w:val="24"/>
          <w:lang w:val="es-ES" w:eastAsia="es-ES"/>
        </w:rPr>
        <w:t xml:space="preserve"> Harinas, del mes de Junio, Julio y Diciembre del año 2016 así como del mes de Enero 2019” (Sic)</w:t>
      </w:r>
    </w:p>
    <w:p w:rsidR="009136C7" w:rsidRDefault="009136C7" w:rsidP="009136C7">
      <w:pPr>
        <w:spacing w:before="240" w:after="240" w:line="360" w:lineRule="auto"/>
        <w:ind w:left="567" w:right="567"/>
        <w:contextualSpacing/>
        <w:jc w:val="both"/>
        <w:rPr>
          <w:rFonts w:ascii="Palatino Linotype" w:eastAsia="Calibri" w:hAnsi="Palatino Linotype" w:cs="Arial"/>
          <w:i/>
          <w:szCs w:val="24"/>
          <w:lang w:val="es-ES" w:eastAsia="es-ES"/>
        </w:rPr>
      </w:pPr>
    </w:p>
    <w:p w:rsidR="009136C7" w:rsidRDefault="009136C7" w:rsidP="009136C7">
      <w:pPr>
        <w:numPr>
          <w:ilvl w:val="0"/>
          <w:numId w:val="4"/>
        </w:numPr>
        <w:spacing w:before="240" w:after="240" w:line="360" w:lineRule="auto"/>
        <w:ind w:left="567" w:right="567"/>
        <w:contextualSpacing/>
        <w:jc w:val="both"/>
        <w:rPr>
          <w:rFonts w:ascii="Palatino Linotype" w:eastAsia="Calibri" w:hAnsi="Palatino Linotype" w:cs="Arial"/>
          <w:i/>
          <w:szCs w:val="24"/>
          <w:lang w:val="es-ES" w:eastAsia="es-ES"/>
        </w:rPr>
      </w:pPr>
      <w:r w:rsidRPr="009136C7">
        <w:rPr>
          <w:rFonts w:ascii="Palatino Linotype" w:eastAsia="Calibri" w:hAnsi="Palatino Linotype" w:cs="Arial"/>
          <w:i/>
          <w:szCs w:val="24"/>
          <w:lang w:val="es-ES" w:eastAsia="es-ES"/>
        </w:rPr>
        <w:t>“Solicito (1) la nómina general del Ayuntamiento conforme al Documento y formato enviado al OSFEM de los meses de junio, julio y diciembre del año 2018. También solicito (2) el nombramiento escaneado de los servidores públicos ya aprobados por cabildo y su grado de estudios de cada uno de ellos. (3) por último solicito el organigrama de la presente Administración de Coatepec Harinas” (Sic)</w:t>
      </w:r>
    </w:p>
    <w:p w:rsidR="009136C7" w:rsidRDefault="009136C7" w:rsidP="009136C7">
      <w:pPr>
        <w:spacing w:before="240" w:after="240" w:line="360" w:lineRule="auto"/>
        <w:ind w:left="567" w:right="567"/>
        <w:contextualSpacing/>
        <w:jc w:val="both"/>
        <w:rPr>
          <w:rFonts w:ascii="Palatino Linotype" w:eastAsia="Calibri" w:hAnsi="Palatino Linotype" w:cs="Arial"/>
          <w:i/>
          <w:szCs w:val="24"/>
          <w:lang w:val="es-ES" w:eastAsia="es-ES"/>
        </w:rPr>
      </w:pPr>
    </w:p>
    <w:p w:rsidR="009136C7" w:rsidRPr="009136C7" w:rsidRDefault="009136C7" w:rsidP="009136C7">
      <w:pPr>
        <w:numPr>
          <w:ilvl w:val="0"/>
          <w:numId w:val="4"/>
        </w:numPr>
        <w:spacing w:before="240" w:after="240" w:line="360" w:lineRule="auto"/>
        <w:ind w:left="567" w:right="567"/>
        <w:contextualSpacing/>
        <w:jc w:val="both"/>
        <w:rPr>
          <w:rFonts w:ascii="Palatino Linotype" w:eastAsia="Calibri" w:hAnsi="Palatino Linotype" w:cs="Arial"/>
          <w:i/>
          <w:szCs w:val="24"/>
          <w:lang w:val="es-ES" w:eastAsia="es-ES"/>
        </w:rPr>
      </w:pPr>
      <w:r w:rsidRPr="009136C7">
        <w:rPr>
          <w:rFonts w:ascii="Palatino Linotype" w:eastAsia="Calibri" w:hAnsi="Palatino Linotype" w:cs="Arial"/>
          <w:i/>
          <w:szCs w:val="24"/>
          <w:lang w:val="es-ES" w:eastAsia="es-ES"/>
        </w:rPr>
        <w:t>“Solicito el nombre completo, las declaraciones patrimoniales, el domicilio de oficina, número de teléfono y extensión, correo electrónico, recibo de nómina o de lista de raya y los RFC de los servidores públicos del Ayuntamiento de Coatepec Harinas y de los organismos públicos descentralizados.” (Sic)</w:t>
      </w:r>
    </w:p>
    <w:p w:rsidR="0098697C" w:rsidRDefault="0098697C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650941" w:rsidRDefault="00650941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98697C" w:rsidRDefault="0098697C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Ahora bien, como correctamente lo señala el Comisionado Ponente, de las constancias que integran el expediente en el SAIMEX, se advierte que el </w:t>
      </w:r>
      <w:r w:rsidR="0054359C">
        <w:rPr>
          <w:rFonts w:ascii="Palatino Linotype" w:hAnsi="Palatino Linotype"/>
          <w:b/>
          <w:sz w:val="24"/>
          <w:szCs w:val="24"/>
        </w:rPr>
        <w:t xml:space="preserve">sujeto </w:t>
      </w:r>
      <w:r w:rsidR="0054359C" w:rsidRPr="0054359C">
        <w:rPr>
          <w:rFonts w:ascii="Palatino Linotype" w:hAnsi="Palatino Linotype"/>
          <w:b/>
          <w:sz w:val="24"/>
          <w:szCs w:val="24"/>
        </w:rPr>
        <w:t>obligado</w:t>
      </w:r>
      <w:r w:rsidR="0054359C">
        <w:rPr>
          <w:rFonts w:ascii="Palatino Linotype" w:hAnsi="Palatino Linotype"/>
          <w:b/>
          <w:sz w:val="24"/>
          <w:szCs w:val="24"/>
        </w:rPr>
        <w:t xml:space="preserve"> </w:t>
      </w:r>
      <w:r w:rsidR="0054359C">
        <w:rPr>
          <w:rFonts w:ascii="Palatino Linotype" w:hAnsi="Palatino Linotype"/>
          <w:sz w:val="24"/>
          <w:szCs w:val="24"/>
        </w:rPr>
        <w:t xml:space="preserve">requirió al particular, realizara una aclaración sobre las solicitudes de información anteriormente referidas; posteriormente al desahogo de dichas aclaraciones, el sujeto obligado emitió las respuestas correspondientes, dando como resultado que el recurrente promoviera los medios de impugnación en referencia, </w:t>
      </w:r>
      <w:r w:rsidR="006604B4">
        <w:rPr>
          <w:rFonts w:ascii="Palatino Linotype" w:hAnsi="Palatino Linotype"/>
          <w:sz w:val="24"/>
          <w:szCs w:val="24"/>
        </w:rPr>
        <w:t>argumentando como razones o motivos de inconformidad que</w:t>
      </w:r>
      <w:r w:rsidR="0054359C">
        <w:rPr>
          <w:rFonts w:ascii="Palatino Linotype" w:hAnsi="Palatino Linotype"/>
          <w:sz w:val="24"/>
          <w:szCs w:val="24"/>
        </w:rPr>
        <w:t xml:space="preserve"> la información proporcionada era incompleta</w:t>
      </w:r>
      <w:r w:rsidR="006604B4">
        <w:rPr>
          <w:rFonts w:ascii="Palatino Linotype" w:hAnsi="Palatino Linotype"/>
          <w:b/>
          <w:sz w:val="24"/>
          <w:szCs w:val="24"/>
        </w:rPr>
        <w:t>.</w:t>
      </w:r>
    </w:p>
    <w:p w:rsidR="0098697C" w:rsidRDefault="0098697C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6604B4" w:rsidRDefault="0098697C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Derivado </w:t>
      </w:r>
      <w:r w:rsidR="006604B4">
        <w:rPr>
          <w:rFonts w:ascii="Palatino Linotype" w:hAnsi="Palatino Linotype"/>
          <w:sz w:val="24"/>
          <w:szCs w:val="24"/>
        </w:rPr>
        <w:t>de lo establecido en el párrafo anterior, la Comisionada</w:t>
      </w:r>
      <w:r>
        <w:rPr>
          <w:rFonts w:ascii="Palatino Linotype" w:hAnsi="Palatino Linotype"/>
          <w:sz w:val="24"/>
          <w:szCs w:val="24"/>
        </w:rPr>
        <w:t xml:space="preserve"> Ponente, </w:t>
      </w:r>
      <w:r w:rsidR="006604B4">
        <w:rPr>
          <w:rFonts w:ascii="Palatino Linotype" w:hAnsi="Palatino Linotype"/>
          <w:sz w:val="24"/>
          <w:szCs w:val="24"/>
        </w:rPr>
        <w:t>emitió debida resolución a los recursos de revisión en referencia, ordenando al sujeto obligado lo establecido en el resolutivo SEGUNDO, mismo que a continuación se transcribe:</w:t>
      </w:r>
    </w:p>
    <w:p w:rsidR="0098697C" w:rsidRDefault="0098697C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6604B4" w:rsidRPr="006604B4" w:rsidRDefault="006604B4" w:rsidP="006604B4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lang w:eastAsia="es-MX"/>
        </w:rPr>
      </w:pPr>
      <w:r w:rsidRPr="006604B4">
        <w:rPr>
          <w:rFonts w:ascii="Palatino Linotype" w:eastAsia="Times New Roman" w:hAnsi="Palatino Linotype" w:cs="Arial"/>
          <w:b/>
          <w:bCs/>
          <w:lang w:eastAsia="es-MX"/>
        </w:rPr>
        <w:t>“</w:t>
      </w:r>
      <w:r w:rsidRPr="006604B4">
        <w:rPr>
          <w:rFonts w:ascii="Palatino Linotype" w:eastAsia="Times New Roman" w:hAnsi="Palatino Linotype" w:cs="Arial"/>
          <w:b/>
          <w:bCs/>
          <w:lang w:eastAsia="es-MX"/>
        </w:rPr>
        <w:t>SEGUNDO</w:t>
      </w:r>
      <w:r w:rsidRPr="006604B4">
        <w:rPr>
          <w:rFonts w:ascii="Palatino Linotype" w:hAnsi="Palatino Linotype"/>
          <w:b/>
          <w:bCs/>
          <w:lang w:eastAsia="es-MX"/>
        </w:rPr>
        <w:t>.</w:t>
      </w:r>
      <w:r w:rsidRPr="006604B4">
        <w:rPr>
          <w:rFonts w:ascii="Palatino Linotype" w:hAnsi="Palatino Linotype"/>
          <w:lang w:eastAsia="es-MX"/>
        </w:rPr>
        <w:t xml:space="preserve"> Se </w:t>
      </w:r>
      <w:r w:rsidRPr="006604B4">
        <w:rPr>
          <w:rFonts w:ascii="Palatino Linotype" w:hAnsi="Palatino Linotype"/>
          <w:b/>
          <w:lang w:eastAsia="es-MX"/>
        </w:rPr>
        <w:t>MODIFICAN</w:t>
      </w:r>
      <w:r w:rsidRPr="006604B4">
        <w:rPr>
          <w:rFonts w:ascii="Palatino Linotype" w:hAnsi="Palatino Linotype"/>
          <w:lang w:eastAsia="es-MX"/>
        </w:rPr>
        <w:t xml:space="preserve"> las respuestas del </w:t>
      </w:r>
      <w:r w:rsidRPr="006604B4">
        <w:rPr>
          <w:rFonts w:ascii="Palatino Linotype" w:hAnsi="Palatino Linotype"/>
          <w:b/>
          <w:lang w:eastAsia="es-MX"/>
        </w:rPr>
        <w:t>SUJETO OBLIGADO</w:t>
      </w:r>
      <w:r w:rsidRPr="006604B4">
        <w:rPr>
          <w:rFonts w:ascii="Palatino Linotype" w:hAnsi="Palatino Linotype"/>
          <w:lang w:eastAsia="es-MX"/>
        </w:rPr>
        <w:t xml:space="preserve">, y se </w:t>
      </w:r>
      <w:r w:rsidRPr="006604B4">
        <w:rPr>
          <w:rFonts w:ascii="Palatino Linotype" w:hAnsi="Palatino Linotype"/>
          <w:b/>
          <w:bCs/>
          <w:lang w:eastAsia="es-MX"/>
        </w:rPr>
        <w:t>ordena</w:t>
      </w:r>
      <w:r w:rsidRPr="006604B4">
        <w:rPr>
          <w:rFonts w:ascii="Palatino Linotype" w:hAnsi="Palatino Linotype"/>
          <w:lang w:eastAsia="es-MX"/>
        </w:rPr>
        <w:t xml:space="preserve"> atienda las solicitudes de información pública</w:t>
      </w:r>
      <w:r w:rsidRPr="006604B4">
        <w:rPr>
          <w:rFonts w:ascii="Palatino Linotype" w:hAnsi="Palatino Linotype"/>
          <w:b/>
          <w:bCs/>
        </w:rPr>
        <w:t xml:space="preserve"> 00004/COATHAR/IP/2019</w:t>
      </w:r>
      <w:r w:rsidRPr="006604B4">
        <w:rPr>
          <w:rFonts w:ascii="Palatino Linotype" w:hAnsi="Palatino Linotype"/>
          <w:lang w:eastAsia="es-MX"/>
        </w:rPr>
        <w:t xml:space="preserve">, </w:t>
      </w:r>
      <w:r w:rsidRPr="006604B4">
        <w:rPr>
          <w:rFonts w:ascii="Palatino Linotype" w:hAnsi="Palatino Linotype"/>
          <w:b/>
          <w:bCs/>
        </w:rPr>
        <w:t>00005/COATHAR/IP/2019 y 00009/COATHAR/IP/2019</w:t>
      </w:r>
      <w:r w:rsidRPr="006604B4">
        <w:rPr>
          <w:rFonts w:ascii="Palatino Linotype" w:hAnsi="Palatino Linotype"/>
          <w:lang w:eastAsia="es-MX"/>
        </w:rPr>
        <w:t xml:space="preserve"> en términos del Considerando </w:t>
      </w:r>
      <w:r w:rsidRPr="006604B4">
        <w:rPr>
          <w:rFonts w:ascii="Palatino Linotype" w:hAnsi="Palatino Linotype"/>
          <w:b/>
          <w:lang w:eastAsia="es-MX"/>
        </w:rPr>
        <w:t xml:space="preserve">QUINTO </w:t>
      </w:r>
      <w:r w:rsidRPr="006604B4">
        <w:rPr>
          <w:rFonts w:ascii="Palatino Linotype" w:hAnsi="Palatino Linotype"/>
          <w:lang w:eastAsia="es-MX"/>
        </w:rPr>
        <w:t>de la presente resolución y haga entrega al</w:t>
      </w:r>
      <w:r w:rsidRPr="006604B4">
        <w:rPr>
          <w:rFonts w:ascii="Palatino Linotype" w:hAnsi="Palatino Linotype"/>
          <w:b/>
          <w:lang w:eastAsia="es-MX"/>
        </w:rPr>
        <w:t xml:space="preserve"> RECURRENTE</w:t>
      </w:r>
      <w:r w:rsidRPr="006604B4">
        <w:rPr>
          <w:rFonts w:ascii="Palatino Linotype" w:hAnsi="Palatino Linotype"/>
          <w:lang w:eastAsia="es-MX"/>
        </w:rPr>
        <w:t xml:space="preserve">, vía el </w:t>
      </w:r>
      <w:r w:rsidRPr="006604B4">
        <w:rPr>
          <w:rFonts w:ascii="Palatino Linotype" w:hAnsi="Palatino Linotype"/>
          <w:b/>
          <w:lang w:eastAsia="es-MX"/>
        </w:rPr>
        <w:t xml:space="preserve">SAIMEX </w:t>
      </w:r>
      <w:r w:rsidRPr="006604B4">
        <w:rPr>
          <w:rFonts w:ascii="Palatino Linotype" w:hAnsi="Palatino Linotype"/>
          <w:lang w:eastAsia="es-MX"/>
        </w:rPr>
        <w:t xml:space="preserve">en </w:t>
      </w:r>
      <w:r w:rsidRPr="006604B4">
        <w:rPr>
          <w:rFonts w:ascii="Palatino Linotype" w:hAnsi="Palatino Linotype"/>
          <w:b/>
          <w:lang w:eastAsia="es-MX"/>
        </w:rPr>
        <w:t xml:space="preserve">versión pública </w:t>
      </w:r>
      <w:r w:rsidRPr="006604B4">
        <w:rPr>
          <w:rFonts w:ascii="Palatino Linotype" w:hAnsi="Palatino Linotype"/>
          <w:lang w:eastAsia="es-MX"/>
        </w:rPr>
        <w:t>de ser procedente, lo siguiente:</w:t>
      </w:r>
    </w:p>
    <w:p w:rsidR="006604B4" w:rsidRPr="006232DC" w:rsidRDefault="006604B4" w:rsidP="006604B4">
      <w:pPr>
        <w:ind w:left="851" w:right="709"/>
        <w:jc w:val="both"/>
        <w:rPr>
          <w:rFonts w:ascii="Palatino Linotype" w:eastAsia="Arial Unicode MS" w:hAnsi="Palatino Linotype" w:cs="Arial"/>
          <w:i/>
        </w:rPr>
      </w:pPr>
      <w:r w:rsidRPr="006232DC">
        <w:rPr>
          <w:rFonts w:ascii="Palatino Linotype" w:eastAsia="Arial Unicode MS" w:hAnsi="Palatino Linotype" w:cs="Arial"/>
          <w:i/>
        </w:rPr>
        <w:t>“a) Nómina general de la primera y segunda quincena de los meses de junio, julio y diciembre de los años 2016 y 2018; así como de la primera y segunda quincena de enero de 2019.</w:t>
      </w:r>
    </w:p>
    <w:p w:rsidR="006604B4" w:rsidRPr="006232DC" w:rsidRDefault="006604B4" w:rsidP="006604B4">
      <w:pPr>
        <w:ind w:left="851" w:right="709"/>
        <w:jc w:val="both"/>
        <w:rPr>
          <w:rFonts w:ascii="Palatino Linotype" w:eastAsia="Arial Unicode MS" w:hAnsi="Palatino Linotype" w:cs="Arial"/>
          <w:i/>
        </w:rPr>
      </w:pPr>
    </w:p>
    <w:p w:rsidR="006604B4" w:rsidRPr="006232DC" w:rsidRDefault="006604B4" w:rsidP="006604B4">
      <w:pPr>
        <w:ind w:left="851" w:right="709"/>
        <w:jc w:val="both"/>
        <w:rPr>
          <w:rFonts w:ascii="Palatino Linotype" w:eastAsia="Arial Unicode MS" w:hAnsi="Palatino Linotype" w:cs="Arial"/>
          <w:i/>
        </w:rPr>
      </w:pPr>
      <w:r w:rsidRPr="006232DC">
        <w:rPr>
          <w:rFonts w:ascii="Palatino Linotype" w:eastAsia="Arial Unicode MS" w:hAnsi="Palatino Linotype" w:cs="Arial"/>
          <w:i/>
        </w:rPr>
        <w:t xml:space="preserve">b) </w:t>
      </w:r>
      <w:r w:rsidRPr="006232DC">
        <w:rPr>
          <w:rFonts w:ascii="Palatino Linotype" w:hAnsi="Palatino Linotype"/>
          <w:bCs/>
          <w:i/>
        </w:rPr>
        <w:t>Los recibos de nómina y</w:t>
      </w:r>
      <w:r w:rsidRPr="006232DC">
        <w:rPr>
          <w:rFonts w:ascii="Palatino Linotype" w:hAnsi="Palatino Linotype" w:cs="Arial"/>
          <w:i/>
          <w:color w:val="000000"/>
          <w:lang w:eastAsia="es-MX"/>
        </w:rPr>
        <w:t xml:space="preserve"> lista de raya de los servidores públicos adscritos al Municipio de Coatepec Harinas, de la primera quincena de enero de 2019.</w:t>
      </w:r>
    </w:p>
    <w:p w:rsidR="006604B4" w:rsidRPr="006232DC" w:rsidRDefault="006604B4" w:rsidP="006604B4">
      <w:pPr>
        <w:ind w:right="709"/>
        <w:jc w:val="both"/>
        <w:rPr>
          <w:rFonts w:ascii="Palatino Linotype" w:eastAsia="Arial Unicode MS" w:hAnsi="Palatino Linotype" w:cs="Arial"/>
          <w:i/>
        </w:rPr>
      </w:pPr>
    </w:p>
    <w:p w:rsidR="006604B4" w:rsidRPr="006232DC" w:rsidRDefault="006604B4" w:rsidP="006604B4">
      <w:pPr>
        <w:ind w:left="851" w:right="709"/>
        <w:jc w:val="both"/>
        <w:rPr>
          <w:rFonts w:ascii="Palatino Linotype" w:eastAsia="Arial Unicode MS" w:hAnsi="Palatino Linotype" w:cs="Arial"/>
          <w:i/>
        </w:rPr>
      </w:pPr>
      <w:r w:rsidRPr="006232DC">
        <w:rPr>
          <w:rFonts w:ascii="Palatino Linotype" w:eastAsia="Arial Unicode MS" w:hAnsi="Palatino Linotype" w:cs="Arial"/>
          <w:i/>
        </w:rPr>
        <w:t xml:space="preserve">Para el caso de que no haya personal contratado por tiempo determinado durante la temporalidad de la que se ordena la entrega, bastará con que lo haga del conocimiento del </w:t>
      </w:r>
      <w:r w:rsidRPr="006232DC">
        <w:rPr>
          <w:rFonts w:ascii="Palatino Linotype" w:eastAsia="Arial Unicode MS" w:hAnsi="Palatino Linotype" w:cs="Arial"/>
          <w:b/>
          <w:i/>
        </w:rPr>
        <w:t>RECURRENTE</w:t>
      </w:r>
      <w:r w:rsidRPr="006232DC">
        <w:rPr>
          <w:rFonts w:ascii="Palatino Linotype" w:eastAsia="Arial Unicode MS" w:hAnsi="Palatino Linotype" w:cs="Arial"/>
          <w:i/>
        </w:rPr>
        <w:t>.</w:t>
      </w:r>
    </w:p>
    <w:p w:rsidR="006604B4" w:rsidRPr="006232DC" w:rsidRDefault="006604B4" w:rsidP="006604B4">
      <w:pPr>
        <w:spacing w:before="160"/>
        <w:ind w:left="851" w:right="709"/>
        <w:jc w:val="both"/>
        <w:rPr>
          <w:rFonts w:ascii="Palatino Linotype" w:hAnsi="Palatino Linotype" w:cs="Arial"/>
          <w:i/>
          <w:lang w:eastAsia="es-MX"/>
        </w:rPr>
      </w:pPr>
      <w:r w:rsidRPr="006232DC">
        <w:rPr>
          <w:rFonts w:ascii="Palatino Linotype" w:eastAsia="Arial Unicode MS" w:hAnsi="Palatino Linotype" w:cs="Arial"/>
          <w:i/>
        </w:rPr>
        <w:lastRenderedPageBreak/>
        <w:t xml:space="preserve">c) Documento </w:t>
      </w:r>
      <w:r w:rsidRPr="006232DC">
        <w:rPr>
          <w:rFonts w:ascii="Palatino Linotype" w:hAnsi="Palatino Linotype" w:cs="Arial"/>
          <w:i/>
          <w:lang w:eastAsia="es-MX"/>
        </w:rPr>
        <w:t xml:space="preserve">donde conste el nombre completo, número telefónico, domicilio para recibir correspondencia y dirección de correo electrónico oficiales del personal adscrito al Municipio de Coatepec Harinas al 28 de enero de 2019. </w:t>
      </w:r>
    </w:p>
    <w:p w:rsidR="006604B4" w:rsidRDefault="006604B4" w:rsidP="006604B4">
      <w:pPr>
        <w:spacing w:before="160"/>
        <w:ind w:left="851" w:right="709"/>
        <w:jc w:val="both"/>
        <w:rPr>
          <w:rFonts w:ascii="Palatino Linotype" w:hAnsi="Palatino Linotype"/>
          <w:bCs/>
          <w:i/>
        </w:rPr>
      </w:pPr>
      <w:r w:rsidRPr="006232DC">
        <w:rPr>
          <w:rFonts w:ascii="Palatino Linotype" w:hAnsi="Palatino Linotype" w:cs="Arial"/>
          <w:i/>
          <w:lang w:eastAsia="es-MX"/>
        </w:rPr>
        <w:t xml:space="preserve"> </w:t>
      </w:r>
      <w:r w:rsidRPr="006232DC">
        <w:rPr>
          <w:rFonts w:ascii="Palatino Linotype" w:hAnsi="Palatino Linotype"/>
          <w:bCs/>
          <w:i/>
        </w:rPr>
        <w:t xml:space="preserve">Debiendo notificar al </w:t>
      </w:r>
      <w:r w:rsidRPr="006232DC">
        <w:rPr>
          <w:rFonts w:ascii="Palatino Linotype" w:hAnsi="Palatino Linotype"/>
          <w:b/>
          <w:bCs/>
          <w:i/>
        </w:rPr>
        <w:t>RECURRENTE</w:t>
      </w:r>
      <w:r w:rsidRPr="006232DC">
        <w:rPr>
          <w:rFonts w:ascii="Palatino Linotype" w:hAnsi="Palatino Linotype"/>
          <w:bCs/>
          <w:i/>
        </w:rPr>
        <w:t xml:space="preserve"> el Acuerdo de Clasificación de la información que emita el Comité de Transparencia con motivo de las versiones públicas.”</w:t>
      </w:r>
    </w:p>
    <w:p w:rsidR="00650941" w:rsidRPr="006232DC" w:rsidRDefault="00650941" w:rsidP="006604B4">
      <w:pPr>
        <w:spacing w:before="160"/>
        <w:ind w:left="851" w:right="709"/>
        <w:jc w:val="both"/>
        <w:rPr>
          <w:rFonts w:ascii="Palatino Linotype" w:hAnsi="Palatino Linotype"/>
          <w:bCs/>
          <w:i/>
        </w:rPr>
      </w:pPr>
    </w:p>
    <w:p w:rsidR="0098697C" w:rsidRDefault="0098697C" w:rsidP="0098697C">
      <w:pPr>
        <w:spacing w:after="0" w:line="360" w:lineRule="auto"/>
        <w:jc w:val="both"/>
        <w:rPr>
          <w:rFonts w:ascii="Palatino Linotype" w:hAnsi="Palatino Linotype" w:cs="Arial"/>
          <w:b/>
          <w:i/>
        </w:rPr>
      </w:pPr>
    </w:p>
    <w:p w:rsidR="0098697C" w:rsidRDefault="0098697C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Una vez hechas las consideraciones anteriores, </w:t>
      </w:r>
      <w:r w:rsidR="00DC0033">
        <w:rPr>
          <w:rFonts w:ascii="Palatino Linotype" w:hAnsi="Palatino Linotype"/>
          <w:sz w:val="24"/>
          <w:szCs w:val="24"/>
        </w:rPr>
        <w:t>debemos recordar que</w:t>
      </w:r>
      <w:r>
        <w:rPr>
          <w:rFonts w:ascii="Palatino Linotype" w:hAnsi="Palatino Linotype"/>
          <w:sz w:val="24"/>
          <w:szCs w:val="24"/>
        </w:rPr>
        <w:t xml:space="preserve"> la Ley de Transparencia y Acceso a la Información Pública del Estado de México y Munic</w:t>
      </w:r>
      <w:r w:rsidR="006D4A61">
        <w:rPr>
          <w:rFonts w:ascii="Palatino Linotype" w:hAnsi="Palatino Linotype"/>
          <w:sz w:val="24"/>
          <w:szCs w:val="24"/>
        </w:rPr>
        <w:t>ipios, establece la obligación de</w:t>
      </w:r>
      <w:r>
        <w:rPr>
          <w:rFonts w:ascii="Palatino Linotype" w:hAnsi="Palatino Linotype"/>
          <w:sz w:val="24"/>
          <w:szCs w:val="24"/>
        </w:rPr>
        <w:t xml:space="preserve"> los </w:t>
      </w:r>
      <w:r>
        <w:rPr>
          <w:rFonts w:ascii="Palatino Linotype" w:hAnsi="Palatino Linotype"/>
          <w:b/>
          <w:sz w:val="24"/>
          <w:szCs w:val="24"/>
        </w:rPr>
        <w:t xml:space="preserve">sujetos obligados </w:t>
      </w:r>
      <w:r>
        <w:rPr>
          <w:rFonts w:ascii="Palatino Linotype" w:hAnsi="Palatino Linotype"/>
          <w:sz w:val="24"/>
          <w:szCs w:val="24"/>
        </w:rPr>
        <w:t>de hacer entrega de toda la información que conste en sus archivos derivado que estos la generen, procesen, administren, etc., como lo establece el artículo 12 de la ley en comento</w:t>
      </w:r>
      <w:r>
        <w:rPr>
          <w:rStyle w:val="Refdenotaalpie"/>
          <w:rFonts w:ascii="Palatino Linotype" w:hAnsi="Palatino Linotype"/>
          <w:sz w:val="24"/>
          <w:szCs w:val="24"/>
        </w:rPr>
        <w:footnoteReference w:id="1"/>
      </w:r>
      <w:r>
        <w:rPr>
          <w:rFonts w:ascii="Palatino Linotype" w:hAnsi="Palatino Linotype"/>
          <w:sz w:val="24"/>
          <w:szCs w:val="24"/>
        </w:rPr>
        <w:t>.</w:t>
      </w:r>
    </w:p>
    <w:p w:rsidR="006D4A61" w:rsidRDefault="006D4A61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650941" w:rsidRDefault="00650941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98697C" w:rsidRDefault="00DC0033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De igual manera, el</w:t>
      </w:r>
      <w:r w:rsidR="0098697C">
        <w:rPr>
          <w:rFonts w:ascii="Palatino Linotype" w:hAnsi="Palatino Linotype"/>
          <w:sz w:val="24"/>
          <w:szCs w:val="24"/>
        </w:rPr>
        <w:t xml:space="preserve"> artículo 23 de la Ley de Transparencia local,</w:t>
      </w:r>
      <w:r>
        <w:rPr>
          <w:rFonts w:ascii="Palatino Linotype" w:hAnsi="Palatino Linotype"/>
          <w:sz w:val="24"/>
          <w:szCs w:val="24"/>
        </w:rPr>
        <w:t xml:space="preserve"> establece que</w:t>
      </w:r>
      <w:r w:rsidR="0098697C">
        <w:rPr>
          <w:rFonts w:ascii="Palatino Linotype" w:hAnsi="Palatino Linotype"/>
          <w:sz w:val="24"/>
          <w:szCs w:val="24"/>
        </w:rPr>
        <w:t xml:space="preserve"> los </w:t>
      </w:r>
      <w:r w:rsidR="0098697C">
        <w:rPr>
          <w:rFonts w:ascii="Palatino Linotype" w:hAnsi="Palatino Linotype"/>
          <w:b/>
          <w:sz w:val="24"/>
          <w:szCs w:val="24"/>
        </w:rPr>
        <w:t>sujetos obligados</w:t>
      </w:r>
      <w:r w:rsidR="0098697C">
        <w:rPr>
          <w:rFonts w:ascii="Palatino Linotype" w:hAnsi="Palatino Linotype"/>
          <w:sz w:val="24"/>
          <w:szCs w:val="24"/>
        </w:rPr>
        <w:t xml:space="preserve"> deben hacer pública toda aquella información relativa a los montos </w:t>
      </w:r>
      <w:r w:rsidR="0098697C">
        <w:rPr>
          <w:rFonts w:ascii="Palatino Linotype" w:hAnsi="Palatino Linotype"/>
          <w:sz w:val="24"/>
          <w:szCs w:val="24"/>
        </w:rPr>
        <w:lastRenderedPageBreak/>
        <w:t>y las personas a quienes entre</w:t>
      </w:r>
      <w:r w:rsidR="006D4A61">
        <w:rPr>
          <w:rFonts w:ascii="Palatino Linotype" w:hAnsi="Palatino Linotype"/>
          <w:sz w:val="24"/>
          <w:szCs w:val="24"/>
        </w:rPr>
        <w:t xml:space="preserve">guen, por cualquier motivo, </w:t>
      </w:r>
      <w:r w:rsidR="0098697C">
        <w:rPr>
          <w:rFonts w:ascii="Palatino Linotype" w:hAnsi="Palatino Linotype"/>
          <w:sz w:val="24"/>
          <w:szCs w:val="24"/>
        </w:rPr>
        <w:t>recursos públicos, lo que en estricto sentido se comparte.</w:t>
      </w:r>
    </w:p>
    <w:p w:rsidR="00BD146C" w:rsidRDefault="00BD146C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98697C" w:rsidRPr="0003774C" w:rsidRDefault="006D4A61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Aunado a lo anterior, resulta necesario precisar</w:t>
      </w:r>
      <w:r w:rsidR="006F21FE">
        <w:rPr>
          <w:rFonts w:ascii="Palatino Linotype" w:hAnsi="Palatino Linotype"/>
          <w:sz w:val="24"/>
          <w:szCs w:val="24"/>
        </w:rPr>
        <w:t xml:space="preserve"> que</w:t>
      </w:r>
      <w:r>
        <w:rPr>
          <w:rFonts w:ascii="Palatino Linotype" w:hAnsi="Palatino Linotype"/>
          <w:sz w:val="24"/>
          <w:szCs w:val="24"/>
        </w:rPr>
        <w:t xml:space="preserve"> dentro de las áreas administrativas pertenecientes al Municipio de</w:t>
      </w:r>
      <w:r w:rsidR="006F21FE">
        <w:rPr>
          <w:rFonts w:ascii="Palatino Linotype" w:hAnsi="Palatino Linotype"/>
          <w:sz w:val="24"/>
          <w:szCs w:val="24"/>
        </w:rPr>
        <w:t xml:space="preserve"> </w:t>
      </w:r>
      <w:r w:rsidR="006F21FE" w:rsidRPr="009136C7">
        <w:rPr>
          <w:rFonts w:ascii="Palatino Linotype" w:hAnsi="Palatino Linotype"/>
          <w:sz w:val="24"/>
          <w:szCs w:val="24"/>
        </w:rPr>
        <w:t>Coatepec Harinas</w:t>
      </w:r>
      <w:r w:rsidR="006F21FE">
        <w:rPr>
          <w:rFonts w:ascii="Palatino Linotype" w:hAnsi="Palatino Linotype"/>
          <w:sz w:val="24"/>
          <w:szCs w:val="24"/>
        </w:rPr>
        <w:t>, se encuentra la Dirección de Seguridad Pública, la cual es la encargada de salvaguardar la integridad y derechos de las personas</w:t>
      </w:r>
      <w:r w:rsidR="0098697C">
        <w:rPr>
          <w:rFonts w:ascii="Palatino Linotype" w:hAnsi="Palatino Linotype"/>
          <w:sz w:val="24"/>
          <w:szCs w:val="24"/>
        </w:rPr>
        <w:t>.</w:t>
      </w:r>
      <w:r w:rsidR="0098697C">
        <w:rPr>
          <w:rStyle w:val="Refdenotaalpie"/>
          <w:rFonts w:ascii="Palatino Linotype" w:hAnsi="Palatino Linotype"/>
          <w:sz w:val="24"/>
          <w:szCs w:val="24"/>
        </w:rPr>
        <w:footnoteReference w:id="2"/>
      </w:r>
    </w:p>
    <w:p w:rsidR="0098697C" w:rsidRDefault="0098697C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650941" w:rsidRDefault="00650941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650941" w:rsidRDefault="00DC0033" w:rsidP="00DC0033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En ese sentido, </w:t>
      </w:r>
      <w:r w:rsidR="006F21FE">
        <w:rPr>
          <w:rFonts w:ascii="Palatino Linotype" w:hAnsi="Palatino Linotype"/>
          <w:sz w:val="24"/>
          <w:szCs w:val="24"/>
        </w:rPr>
        <w:t xml:space="preserve">si bien se comparte el modificar las respuestas del sujeto obligado, a efecto de que entregue en versión pública la información referida en párrafos que anteceden, la que suscribe difiere en dar a conocer los nombres de los servidores públicos que se encuentran adscritos </w:t>
      </w:r>
      <w:r w:rsidR="00650941">
        <w:rPr>
          <w:rFonts w:ascii="Palatino Linotype" w:hAnsi="Palatino Linotype"/>
          <w:sz w:val="24"/>
          <w:szCs w:val="24"/>
        </w:rPr>
        <w:t>a la Dirección de Seguridad Pública, ya que el poner a la vista dicha información, hace totalmente identificable a dichos elementos.</w:t>
      </w:r>
    </w:p>
    <w:p w:rsidR="00DC0033" w:rsidRDefault="00650941" w:rsidP="00DC0033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</w:p>
    <w:p w:rsidR="00650941" w:rsidRDefault="00650941" w:rsidP="00DC0033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DC0033" w:rsidRDefault="00DC0033" w:rsidP="00DC0033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 xml:space="preserve">Lo anterior, deriva que en la actualidad el hacer públicos los nombres de los servidores públicos de la multicitada </w:t>
      </w:r>
      <w:r w:rsidR="00650941">
        <w:rPr>
          <w:rFonts w:ascii="Palatino Linotype" w:hAnsi="Palatino Linotype"/>
          <w:sz w:val="24"/>
          <w:szCs w:val="24"/>
        </w:rPr>
        <w:t>Dirección</w:t>
      </w:r>
      <w:r>
        <w:rPr>
          <w:rFonts w:ascii="Palatino Linotype" w:hAnsi="Palatino Linotype"/>
          <w:sz w:val="24"/>
          <w:szCs w:val="24"/>
        </w:rPr>
        <w:t>, los pondría en grave riesgo, atendiendo a los altos grados de criminalidad y violencia que se viven en el país, lo que conllevaría que al hacerlos identificables, se les vulnere su seguridad e integridad física.</w:t>
      </w:r>
    </w:p>
    <w:p w:rsidR="00DC0033" w:rsidRDefault="00DC0033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98697C" w:rsidRPr="000D0F1C" w:rsidRDefault="0098697C" w:rsidP="0098697C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De todo lo anteriormente expuesto y fundado, la suscrita </w:t>
      </w:r>
      <w:r w:rsidR="0021751D">
        <w:rPr>
          <w:rFonts w:ascii="Palatino Linotype" w:hAnsi="Palatino Linotype" w:cs="Arial"/>
        </w:rPr>
        <w:t>se aparta únicamente por cuanto hace al punto en estudio</w:t>
      </w:r>
      <w:r>
        <w:rPr>
          <w:rFonts w:ascii="Palatino Linotype" w:hAnsi="Palatino Linotype" w:cs="Arial"/>
        </w:rPr>
        <w:t xml:space="preserve">, toda vez que se hace vulnerables e identificables a los servidores públicos que integran </w:t>
      </w:r>
      <w:r w:rsidR="00650941">
        <w:rPr>
          <w:rFonts w:ascii="Palatino Linotype" w:hAnsi="Palatino Linotype" w:cs="Arial"/>
        </w:rPr>
        <w:t xml:space="preserve">la multicitada Dirección perteneciente al municipio de </w:t>
      </w:r>
      <w:r w:rsidR="00650941" w:rsidRPr="00650941">
        <w:rPr>
          <w:rFonts w:ascii="Palatino Linotype" w:hAnsi="Palatino Linotype" w:cs="Arial"/>
        </w:rPr>
        <w:t>Coatepec Harinas</w:t>
      </w:r>
      <w:r>
        <w:rPr>
          <w:rFonts w:ascii="Palatino Linotype" w:hAnsi="Palatino Linotype" w:cs="Arial"/>
        </w:rPr>
        <w:t xml:space="preserve">, para que personas con malas intenciones puedan hacer mal uso de la información que se ordena su entrega. </w:t>
      </w:r>
    </w:p>
    <w:p w:rsidR="0021751D" w:rsidRDefault="0021751D" w:rsidP="0098697C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0D0F1C" w:rsidRDefault="000D0F1C" w:rsidP="0098697C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650941" w:rsidRDefault="00650941" w:rsidP="0098697C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650941" w:rsidRDefault="00650941" w:rsidP="0098697C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98697C" w:rsidRPr="00AC5985" w:rsidRDefault="0098697C" w:rsidP="0098697C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98697C" w:rsidRPr="003F3117" w:rsidRDefault="0098697C" w:rsidP="0021751D">
      <w:pPr>
        <w:spacing w:after="0" w:line="276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3F3117">
        <w:rPr>
          <w:rFonts w:ascii="Palatino Linotype" w:hAnsi="Palatino Linotype"/>
          <w:b/>
          <w:sz w:val="28"/>
          <w:szCs w:val="28"/>
        </w:rPr>
        <w:t>Zulema Martínez Sánchez</w:t>
      </w:r>
    </w:p>
    <w:p w:rsidR="0098697C" w:rsidRDefault="0098697C" w:rsidP="0021751D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Comisionada Presidenta</w:t>
      </w:r>
    </w:p>
    <w:p w:rsidR="0098697C" w:rsidRDefault="0098697C" w:rsidP="0021751D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(Rúbrica)</w:t>
      </w:r>
    </w:p>
    <w:p w:rsidR="00650941" w:rsidRDefault="00650941" w:rsidP="0021751D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650941" w:rsidRDefault="00650941" w:rsidP="0021751D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21751D" w:rsidRPr="0021751D" w:rsidRDefault="0021751D" w:rsidP="0021751D">
      <w:pPr>
        <w:spacing w:after="0" w:line="276" w:lineRule="auto"/>
        <w:jc w:val="center"/>
        <w:rPr>
          <w:rFonts w:ascii="Palatino Linotype" w:hAnsi="Palatino Linotype"/>
          <w:b/>
          <w:sz w:val="12"/>
          <w:szCs w:val="24"/>
        </w:rPr>
      </w:pPr>
    </w:p>
    <w:p w:rsidR="00650941" w:rsidRPr="00650941" w:rsidRDefault="00650941" w:rsidP="00650941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  <w:r w:rsidRPr="00650941">
        <w:rPr>
          <w:rFonts w:ascii="Palatino Linotype" w:hAnsi="Palatino Linotype"/>
          <w:sz w:val="18"/>
          <w:szCs w:val="18"/>
        </w:rPr>
        <w:t>Esta hoja corresponde al voto particular emitido en la resoluci</w:t>
      </w:r>
      <w:r>
        <w:rPr>
          <w:rFonts w:ascii="Palatino Linotype" w:hAnsi="Palatino Linotype"/>
          <w:sz w:val="18"/>
          <w:szCs w:val="18"/>
        </w:rPr>
        <w:t>ón del recurso de revisión 00817</w:t>
      </w:r>
      <w:r w:rsidRPr="00650941">
        <w:rPr>
          <w:rFonts w:ascii="Palatino Linotype" w:hAnsi="Palatino Linotype"/>
          <w:sz w:val="18"/>
          <w:szCs w:val="18"/>
        </w:rPr>
        <w:t>/INFOEM/IP/RR/2019</w:t>
      </w:r>
      <w:r>
        <w:rPr>
          <w:rFonts w:ascii="Palatino Linotype" w:hAnsi="Palatino Linotype"/>
          <w:sz w:val="18"/>
          <w:szCs w:val="18"/>
        </w:rPr>
        <w:t xml:space="preserve"> y acumulados</w:t>
      </w:r>
      <w:r w:rsidRPr="00650941">
        <w:rPr>
          <w:rFonts w:ascii="Palatino Linotype" w:hAnsi="Palatino Linotype"/>
          <w:sz w:val="18"/>
          <w:szCs w:val="18"/>
        </w:rPr>
        <w:t xml:space="preserve"> de fecha </w:t>
      </w:r>
      <w:r>
        <w:rPr>
          <w:rFonts w:ascii="Palatino Linotype" w:hAnsi="Palatino Linotype"/>
          <w:sz w:val="18"/>
          <w:szCs w:val="18"/>
        </w:rPr>
        <w:t>dos de mayo</w:t>
      </w:r>
      <w:r w:rsidRPr="00650941">
        <w:rPr>
          <w:rFonts w:ascii="Palatino Linotype" w:hAnsi="Palatino Linotype"/>
          <w:sz w:val="18"/>
          <w:szCs w:val="18"/>
        </w:rPr>
        <w:t xml:space="preserve"> de dos mil diecinueve</w:t>
      </w:r>
      <w:r w:rsidR="00A704EB">
        <w:rPr>
          <w:rFonts w:ascii="Palatino Linotype" w:hAnsi="Palatino Linotype"/>
          <w:sz w:val="18"/>
          <w:szCs w:val="18"/>
        </w:rPr>
        <w:t>.</w:t>
      </w:r>
    </w:p>
    <w:p w:rsidR="0021751D" w:rsidRPr="0021751D" w:rsidRDefault="00650941" w:rsidP="00650941">
      <w:pPr>
        <w:spacing w:after="0" w:line="240" w:lineRule="auto"/>
        <w:jc w:val="both"/>
        <w:rPr>
          <w:sz w:val="18"/>
          <w:szCs w:val="18"/>
        </w:rPr>
      </w:pPr>
      <w:r w:rsidRPr="00650941">
        <w:rPr>
          <w:rFonts w:ascii="Palatino Linotype" w:hAnsi="Palatino Linotype"/>
          <w:sz w:val="18"/>
          <w:szCs w:val="18"/>
        </w:rPr>
        <w:t>OSAM/CDFE</w:t>
      </w:r>
      <w:bookmarkStart w:id="0" w:name="_GoBack"/>
      <w:bookmarkEnd w:id="0"/>
    </w:p>
    <w:sectPr w:rsidR="0021751D" w:rsidRPr="0021751D" w:rsidSect="00DD7AD0">
      <w:headerReference w:type="even" r:id="rId7"/>
      <w:headerReference w:type="default" r:id="rId8"/>
      <w:footerReference w:type="default" r:id="rId9"/>
      <w:pgSz w:w="12240" w:h="15840"/>
      <w:pgMar w:top="1871" w:right="1327" w:bottom="2836" w:left="1985" w:header="709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A4A" w:rsidRDefault="00C50A4A" w:rsidP="0098697C">
      <w:pPr>
        <w:spacing w:after="0" w:line="240" w:lineRule="auto"/>
      </w:pPr>
      <w:r>
        <w:separator/>
      </w:r>
    </w:p>
  </w:endnote>
  <w:endnote w:type="continuationSeparator" w:id="0">
    <w:p w:rsidR="00C50A4A" w:rsidRDefault="00C50A4A" w:rsidP="00986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AD0" w:rsidRPr="00986599" w:rsidRDefault="0054212D" w:rsidP="00DD7AD0">
    <w:pPr>
      <w:pStyle w:val="Piedepgina"/>
      <w:jc w:val="right"/>
      <w:rPr>
        <w:rFonts w:ascii="Arial" w:hAnsi="Arial" w:cs="Arial"/>
        <w:sz w:val="20"/>
        <w:szCs w:val="20"/>
      </w:rPr>
    </w:pPr>
    <w:r w:rsidRPr="00986599">
      <w:rPr>
        <w:rFonts w:ascii="Arial" w:hAnsi="Arial" w:cs="Arial"/>
        <w:b/>
        <w:bCs/>
        <w:sz w:val="20"/>
        <w:szCs w:val="20"/>
      </w:rPr>
      <w:fldChar w:fldCharType="begin"/>
    </w:r>
    <w:r w:rsidRPr="00986599">
      <w:rPr>
        <w:rFonts w:ascii="Arial" w:hAnsi="Arial" w:cs="Arial"/>
        <w:b/>
        <w:bCs/>
        <w:sz w:val="20"/>
        <w:szCs w:val="20"/>
      </w:rPr>
      <w:instrText>PAGE</w:instrText>
    </w:r>
    <w:r w:rsidRPr="00986599">
      <w:rPr>
        <w:rFonts w:ascii="Arial" w:hAnsi="Arial" w:cs="Arial"/>
        <w:b/>
        <w:bCs/>
        <w:sz w:val="20"/>
        <w:szCs w:val="20"/>
      </w:rPr>
      <w:fldChar w:fldCharType="separate"/>
    </w:r>
    <w:r w:rsidR="00A704EB">
      <w:rPr>
        <w:rFonts w:ascii="Arial" w:hAnsi="Arial" w:cs="Arial"/>
        <w:b/>
        <w:bCs/>
        <w:noProof/>
        <w:sz w:val="20"/>
        <w:szCs w:val="20"/>
      </w:rPr>
      <w:t>6</w:t>
    </w:r>
    <w:r w:rsidRPr="00986599">
      <w:rPr>
        <w:rFonts w:ascii="Arial" w:hAnsi="Arial" w:cs="Arial"/>
        <w:b/>
        <w:bCs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</w:t>
    </w:r>
    <w:r w:rsidRPr="00986599">
      <w:rPr>
        <w:rFonts w:ascii="Arial" w:hAnsi="Arial" w:cs="Arial"/>
        <w:sz w:val="20"/>
        <w:szCs w:val="20"/>
      </w:rPr>
      <w:t>de</w:t>
    </w:r>
    <w:r>
      <w:rPr>
        <w:rFonts w:ascii="Arial" w:hAnsi="Arial" w:cs="Arial"/>
        <w:sz w:val="20"/>
        <w:szCs w:val="20"/>
      </w:rPr>
      <w:t xml:space="preserve"> </w:t>
    </w:r>
    <w:r w:rsidRPr="00986599">
      <w:rPr>
        <w:rFonts w:ascii="Arial" w:hAnsi="Arial" w:cs="Arial"/>
        <w:b/>
        <w:bCs/>
        <w:sz w:val="20"/>
        <w:szCs w:val="20"/>
      </w:rPr>
      <w:fldChar w:fldCharType="begin"/>
    </w:r>
    <w:r w:rsidRPr="00986599">
      <w:rPr>
        <w:rFonts w:ascii="Arial" w:hAnsi="Arial" w:cs="Arial"/>
        <w:b/>
        <w:bCs/>
        <w:sz w:val="20"/>
        <w:szCs w:val="20"/>
      </w:rPr>
      <w:instrText>NUMPAGES</w:instrText>
    </w:r>
    <w:r w:rsidRPr="00986599">
      <w:rPr>
        <w:rFonts w:ascii="Arial" w:hAnsi="Arial" w:cs="Arial"/>
        <w:b/>
        <w:bCs/>
        <w:sz w:val="20"/>
        <w:szCs w:val="20"/>
      </w:rPr>
      <w:fldChar w:fldCharType="separate"/>
    </w:r>
    <w:r w:rsidR="00A704EB">
      <w:rPr>
        <w:rFonts w:ascii="Arial" w:hAnsi="Arial" w:cs="Arial"/>
        <w:b/>
        <w:bCs/>
        <w:noProof/>
        <w:sz w:val="20"/>
        <w:szCs w:val="20"/>
      </w:rPr>
      <w:t>6</w:t>
    </w:r>
    <w:r w:rsidRPr="00986599">
      <w:rPr>
        <w:rFonts w:ascii="Arial" w:hAnsi="Arial" w:cs="Arial"/>
        <w:b/>
        <w:bCs/>
        <w:sz w:val="20"/>
        <w:szCs w:val="20"/>
      </w:rPr>
      <w:fldChar w:fldCharType="end"/>
    </w:r>
  </w:p>
  <w:p w:rsidR="00DD7AD0" w:rsidRDefault="00C50A4A" w:rsidP="00DD7AD0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A4A" w:rsidRDefault="00C50A4A" w:rsidP="0098697C">
      <w:pPr>
        <w:spacing w:after="0" w:line="240" w:lineRule="auto"/>
      </w:pPr>
      <w:r>
        <w:separator/>
      </w:r>
    </w:p>
  </w:footnote>
  <w:footnote w:type="continuationSeparator" w:id="0">
    <w:p w:rsidR="00C50A4A" w:rsidRDefault="00C50A4A" w:rsidP="0098697C">
      <w:pPr>
        <w:spacing w:after="0" w:line="240" w:lineRule="auto"/>
      </w:pPr>
      <w:r>
        <w:continuationSeparator/>
      </w:r>
    </w:p>
  </w:footnote>
  <w:footnote w:id="1">
    <w:p w:rsidR="0098697C" w:rsidRPr="00637DEC" w:rsidRDefault="0098697C" w:rsidP="0098697C">
      <w:pPr>
        <w:pStyle w:val="Textonotapie"/>
        <w:jc w:val="both"/>
        <w:rPr>
          <w:rFonts w:ascii="Palatino Linotype" w:hAnsi="Palatino Linotype"/>
          <w:i/>
          <w:sz w:val="22"/>
        </w:rPr>
      </w:pPr>
      <w:r w:rsidRPr="00637DEC">
        <w:rPr>
          <w:rStyle w:val="Refdenotaalpie"/>
          <w:rFonts w:ascii="Palatino Linotype" w:hAnsi="Palatino Linotype"/>
          <w:sz w:val="22"/>
        </w:rPr>
        <w:footnoteRef/>
      </w:r>
      <w:r w:rsidRPr="00637DEC">
        <w:rPr>
          <w:rFonts w:ascii="Palatino Linotype" w:hAnsi="Palatino Linotype"/>
          <w:sz w:val="22"/>
        </w:rPr>
        <w:t xml:space="preserve"> </w:t>
      </w:r>
      <w:r w:rsidRPr="00637DEC">
        <w:rPr>
          <w:rFonts w:ascii="Palatino Linotype" w:hAnsi="Palatino Linotype"/>
          <w:b/>
          <w:i/>
          <w:sz w:val="22"/>
        </w:rPr>
        <w:t>Artículo 12.</w:t>
      </w:r>
      <w:r w:rsidRPr="00637DEC">
        <w:rPr>
          <w:rFonts w:ascii="Palatino Linotype" w:hAnsi="Palatino Linotype"/>
          <w:i/>
          <w:sz w:val="22"/>
        </w:rPr>
        <w:t xml:space="preserve"> Quienes generen, recopilen, administren, manejen, procesen, archiven o conserven información pública serán responsables de la misma en los términos de las disposiciones jurídicas aplicables.</w:t>
      </w:r>
    </w:p>
    <w:p w:rsidR="0098697C" w:rsidRPr="00637DEC" w:rsidRDefault="0098697C" w:rsidP="0098697C">
      <w:pPr>
        <w:pStyle w:val="Textonotapie"/>
        <w:jc w:val="both"/>
        <w:rPr>
          <w:rFonts w:ascii="Palatino Linotype" w:hAnsi="Palatino Linotype"/>
          <w:i/>
          <w:sz w:val="22"/>
        </w:rPr>
      </w:pPr>
    </w:p>
    <w:p w:rsidR="0098697C" w:rsidRPr="00637DEC" w:rsidRDefault="0098697C" w:rsidP="0098697C">
      <w:pPr>
        <w:pStyle w:val="Textonotapie"/>
        <w:jc w:val="both"/>
        <w:rPr>
          <w:sz w:val="22"/>
        </w:rPr>
      </w:pPr>
      <w:r w:rsidRPr="00637DEC">
        <w:rPr>
          <w:rFonts w:ascii="Palatino Linotype" w:hAnsi="Palatino Linotype"/>
          <w:i/>
          <w:sz w:val="22"/>
        </w:rPr>
        <w:t>Los sujetos obligados sólo proporcionarán la información pública que se les requiera y que obre en sus archivos y en el estado en que ésta se encuentre. La obligación de proporcionar información no comprende el procesamiento de la misma, ni el presentarla conforme al interés del solicitante; no estarán obligados a generarla, resumirla, efectuar cálculos o practicar investigaciones.</w:t>
      </w:r>
    </w:p>
  </w:footnote>
  <w:footnote w:id="2">
    <w:p w:rsidR="0098697C" w:rsidRPr="00637DEC" w:rsidRDefault="0098697C" w:rsidP="0098697C">
      <w:pPr>
        <w:pStyle w:val="Textonotapie"/>
        <w:rPr>
          <w:rFonts w:ascii="Palatino Linotype" w:hAnsi="Palatino Linotype"/>
          <w:i/>
          <w:sz w:val="22"/>
        </w:rPr>
      </w:pPr>
      <w:r w:rsidRPr="00637DEC">
        <w:rPr>
          <w:rStyle w:val="Refdenotaalpie"/>
          <w:rFonts w:ascii="Palatino Linotype" w:hAnsi="Palatino Linotype"/>
          <w:i/>
          <w:sz w:val="22"/>
        </w:rPr>
        <w:footnoteRef/>
      </w:r>
      <w:r w:rsidRPr="00637DEC">
        <w:rPr>
          <w:rFonts w:ascii="Palatino Linotype" w:hAnsi="Palatino Linotype"/>
          <w:i/>
          <w:sz w:val="22"/>
        </w:rPr>
        <w:t xml:space="preserve"> </w:t>
      </w:r>
      <w:r w:rsidRPr="00637DEC">
        <w:rPr>
          <w:rFonts w:ascii="Palatino Linotype" w:hAnsi="Palatino Linotype"/>
          <w:b/>
          <w:i/>
          <w:sz w:val="22"/>
        </w:rPr>
        <w:t>Artículo 2</w:t>
      </w:r>
    </w:p>
    <w:p w:rsidR="0098697C" w:rsidRPr="00637DEC" w:rsidRDefault="0098697C" w:rsidP="0098697C">
      <w:pPr>
        <w:pStyle w:val="Textonotapie"/>
        <w:jc w:val="both"/>
        <w:rPr>
          <w:rFonts w:ascii="Palatino Linotype" w:hAnsi="Palatino Linotype"/>
          <w:i/>
          <w:sz w:val="22"/>
        </w:rPr>
      </w:pPr>
      <w:r w:rsidRPr="00637DEC">
        <w:rPr>
          <w:rFonts w:ascii="Palatino Linotype" w:hAnsi="Palatino Linotype"/>
          <w:i/>
          <w:sz w:val="22"/>
        </w:rPr>
        <w:t>…La seguridad pública es una función a cargo del Estado y los Municipios, que tiene como fines salvaguardar la integridad y derechos de las personas, así como preservar las libertades, el orden y la paz públicos y comprende la prevención especial y general de los delitos, la investigación para hacerla efectiva, así como la investigación y la persecución de los delitos, la reinserción social del individuo y la sanción de las infracciones administrativas, en las competencias respectivas en términos de esta Ley y demás ordenamientos jurídicos aplicables…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AD0" w:rsidRDefault="0054212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0C14F083" wp14:editId="1A5B8E4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10250" cy="771525"/>
              <wp:effectExtent l="0" t="1876425" r="0" b="169545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10250" cy="7715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7AD0" w:rsidRDefault="0054212D" w:rsidP="00DD7AD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F7CAAC" w:themeColor="accent2" w:themeTint="66"/>
                              <w:sz w:val="108"/>
                              <w:szCs w:val="108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>VOTO DISIDENTE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14F08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0;width:457.5pt;height:60.7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DD7AD0" w:rsidRDefault="0054212D" w:rsidP="00DD7AD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F7CAAC" w:themeColor="accent2" w:themeTint="66"/>
                        <w:sz w:val="108"/>
                        <w:szCs w:val="108"/>
                        <w14:textFill>
                          <w14:solidFill>
                            <w14:schemeClr w14:val="accent2">
                              <w14:alpha w14:val="50000"/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  <w:t>VOTO DISIDENTE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97C" w:rsidRDefault="00C50A4A" w:rsidP="0098697C">
    <w:pPr>
      <w:pStyle w:val="Encabezado"/>
      <w:jc w:val="righ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935636447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sz w:val="20"/>
            <w:szCs w:val="20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4212942" o:spid="_x0000_s2050" type="#_x0000_t136" style="position:absolute;left:0;text-align:left;margin-left:0;margin-top:0;width:518.25pt;height:111.05pt;rotation:315;z-index:-251657216;mso-position-horizontal:center;mso-position-horizontal-relative:margin;mso-position-vertical:center;mso-position-vertical-relative:margin" o:allowincell="f" fillcolor="#ed7d31 [3205]" stroked="f">
              <v:fill opacity=".5"/>
              <v:textpath style="font-family:&quot;calibri&quot;;font-size:1pt" string="VOTO PARTICULAR"/>
              <w10:wrap anchorx="margin" anchory="margin"/>
            </v:shape>
          </w:pict>
        </w:r>
      </w:sdtContent>
    </w:sdt>
    <w:r w:rsidR="0098697C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4BACC92" wp14:editId="6D46ED0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93865" cy="1198880"/>
              <wp:effectExtent l="0" t="2038350" r="0" b="188722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93865" cy="1198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97C" w:rsidRDefault="0098697C" w:rsidP="0098697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F4B083" w:themeColor="accent2" w:themeTint="99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60000"/>
                                    <w14:lumOff w14:val="40000"/>
                                  </w14:schemeClr>
                                </w14:solidFill>
                              </w14:textFill>
                            </w:rPr>
                            <w:t>OPINIÓN PARTICULAR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BACC9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0;margin-top:0;width:534.95pt;height:94.4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" o:allowincell="f" filled="f" stroked="f">
              <v:stroke joinstyle="round"/>
              <o:lock v:ext="edit" shapetype="t"/>
              <v:textbox style="mso-fit-shape-to-text:t">
                <w:txbxContent>
                  <w:p w:rsidR="0098697C" w:rsidRDefault="0098697C" w:rsidP="0098697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F4B083" w:themeColor="accent2" w:themeTint="99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  <w14:lumMod w14:val="60000"/>
                              <w14:lumOff w14:val="40000"/>
                            </w14:schemeClr>
                          </w14:solidFill>
                        </w14:textFill>
                      </w:rPr>
                      <w:t>OPINIÓN PARTICULAR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98697C"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55012121" wp14:editId="2760D052">
          <wp:simplePos x="0" y="0"/>
          <wp:positionH relativeFrom="page">
            <wp:align>center</wp:align>
          </wp:positionH>
          <wp:positionV relativeFrom="paragraph">
            <wp:posOffset>-449906</wp:posOffset>
          </wp:positionV>
          <wp:extent cx="7510628" cy="9883775"/>
          <wp:effectExtent l="0" t="0" r="0" b="3175"/>
          <wp:wrapNone/>
          <wp:docPr id="10" name="Imagen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628" cy="98837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697C" w:rsidRDefault="0098697C" w:rsidP="0098697C">
    <w:pPr>
      <w:pStyle w:val="Encabezado"/>
      <w:jc w:val="right"/>
      <w:rPr>
        <w:rFonts w:ascii="Arial" w:hAnsi="Arial" w:cs="Arial"/>
        <w:sz w:val="20"/>
        <w:szCs w:val="20"/>
      </w:rPr>
    </w:pPr>
  </w:p>
  <w:p w:rsidR="0098697C" w:rsidRDefault="0098697C" w:rsidP="0098697C">
    <w:pPr>
      <w:pStyle w:val="Encabezado"/>
      <w:jc w:val="right"/>
      <w:rPr>
        <w:rFonts w:ascii="Arial" w:hAnsi="Arial" w:cs="Arial"/>
        <w:sz w:val="20"/>
        <w:szCs w:val="20"/>
      </w:rPr>
    </w:pPr>
  </w:p>
  <w:p w:rsidR="0098697C" w:rsidRDefault="0098697C" w:rsidP="0098697C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>
      <w:rPr>
        <w:rFonts w:ascii="Palatino Linotype" w:hAnsi="Palatino Linotype" w:cs="Arial"/>
        <w:b/>
        <w:sz w:val="20"/>
        <w:szCs w:val="20"/>
      </w:rPr>
      <w:t>VOTO PARTICULAR</w:t>
    </w:r>
  </w:p>
  <w:p w:rsidR="0098697C" w:rsidRPr="00563D0F" w:rsidRDefault="0098697C" w:rsidP="0098697C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 w:rsidRPr="00563D0F">
      <w:rPr>
        <w:rFonts w:ascii="Palatino Linotype" w:hAnsi="Palatino Linotype" w:cs="Arial"/>
        <w:b/>
        <w:sz w:val="20"/>
        <w:szCs w:val="20"/>
      </w:rPr>
      <w:t xml:space="preserve">RECURSO DE </w:t>
    </w:r>
    <w:r w:rsidRPr="006B0547">
      <w:rPr>
        <w:rFonts w:ascii="Palatino Linotype" w:hAnsi="Palatino Linotype" w:cs="Arial"/>
        <w:b/>
        <w:sz w:val="20"/>
        <w:szCs w:val="20"/>
      </w:rPr>
      <w:t xml:space="preserve">REVISIÓN </w:t>
    </w:r>
    <w:r w:rsidR="009136C7" w:rsidRPr="009136C7">
      <w:rPr>
        <w:rFonts w:ascii="Palatino Linotype" w:hAnsi="Palatino Linotype" w:cs="Arial"/>
        <w:b/>
        <w:sz w:val="20"/>
        <w:szCs w:val="20"/>
      </w:rPr>
      <w:t>00817/INFOEM/IP/RR/2019</w:t>
    </w:r>
    <w:r>
      <w:rPr>
        <w:rFonts w:ascii="Palatino Linotype" w:hAnsi="Palatino Linotype" w:cs="Arial"/>
        <w:b/>
        <w:sz w:val="20"/>
        <w:szCs w:val="20"/>
      </w:rPr>
      <w:t xml:space="preserve"> y acumulados</w:t>
    </w:r>
  </w:p>
  <w:p w:rsidR="0098697C" w:rsidRDefault="0098697C" w:rsidP="0098697C">
    <w:pPr>
      <w:pStyle w:val="Encabezado"/>
      <w:jc w:val="right"/>
      <w:rPr>
        <w:rFonts w:ascii="Palatino Linotype" w:hAnsi="Palatino Linotype" w:cs="Arial"/>
        <w:sz w:val="20"/>
        <w:szCs w:val="20"/>
      </w:rPr>
    </w:pPr>
  </w:p>
  <w:p w:rsidR="002902DB" w:rsidRPr="0098697C" w:rsidRDefault="00C50A4A" w:rsidP="0098697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71034"/>
    <w:multiLevelType w:val="hybridMultilevel"/>
    <w:tmpl w:val="42287962"/>
    <w:lvl w:ilvl="0" w:tplc="18BA1B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AAB74CB"/>
    <w:multiLevelType w:val="hybridMultilevel"/>
    <w:tmpl w:val="C6D2F62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158A1"/>
    <w:multiLevelType w:val="hybridMultilevel"/>
    <w:tmpl w:val="E500E51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71DC0"/>
    <w:multiLevelType w:val="hybridMultilevel"/>
    <w:tmpl w:val="EC10C8D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3C5E60"/>
    <w:multiLevelType w:val="hybridMultilevel"/>
    <w:tmpl w:val="CB6A1B1C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7C"/>
    <w:rsid w:val="000D0F1C"/>
    <w:rsid w:val="00131740"/>
    <w:rsid w:val="0021751D"/>
    <w:rsid w:val="00365383"/>
    <w:rsid w:val="0054212D"/>
    <w:rsid w:val="0054359C"/>
    <w:rsid w:val="00650941"/>
    <w:rsid w:val="006604B4"/>
    <w:rsid w:val="006D4A61"/>
    <w:rsid w:val="006F21FE"/>
    <w:rsid w:val="0074311B"/>
    <w:rsid w:val="00824210"/>
    <w:rsid w:val="008B2684"/>
    <w:rsid w:val="009136C7"/>
    <w:rsid w:val="0098697C"/>
    <w:rsid w:val="00A704EB"/>
    <w:rsid w:val="00BD146C"/>
    <w:rsid w:val="00C50A4A"/>
    <w:rsid w:val="00DC0033"/>
    <w:rsid w:val="00F3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01A2C682-43B1-4D44-9484-998B32F2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97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69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8697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869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697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986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aliases w:val="Francesa"/>
    <w:link w:val="SinespaciadoCar"/>
    <w:uiPriority w:val="1"/>
    <w:qFormat/>
    <w:rsid w:val="00986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aliases w:val="Francesa Car"/>
    <w:link w:val="Sinespaciado"/>
    <w:uiPriority w:val="1"/>
    <w:locked/>
    <w:rsid w:val="0098697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8697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8697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8697C"/>
    <w:rPr>
      <w:vertAlign w:val="superscript"/>
    </w:rPr>
  </w:style>
  <w:style w:type="paragraph" w:styleId="Prrafodelista">
    <w:name w:val="List Paragraph"/>
    <w:basedOn w:val="Normal"/>
    <w:link w:val="PrrafodelistaCar"/>
    <w:uiPriority w:val="72"/>
    <w:qFormat/>
    <w:rsid w:val="0098697C"/>
    <w:pPr>
      <w:spacing w:line="259" w:lineRule="auto"/>
      <w:ind w:left="720"/>
      <w:contextualSpacing/>
    </w:pPr>
  </w:style>
  <w:style w:type="character" w:customStyle="1" w:styleId="PrrafodelistaCar">
    <w:name w:val="Párrafo de lista Car"/>
    <w:link w:val="Prrafodelista"/>
    <w:uiPriority w:val="72"/>
    <w:qFormat/>
    <w:locked/>
    <w:rsid w:val="00986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996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2019-05-08T00:51:00Z</cp:lastPrinted>
  <dcterms:created xsi:type="dcterms:W3CDTF">2019-05-08T00:52:00Z</dcterms:created>
  <dcterms:modified xsi:type="dcterms:W3CDTF">2019-05-08T00:52:00Z</dcterms:modified>
</cp:coreProperties>
</file>